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7C65" w14:textId="16B482A7" w:rsidR="00CA466B" w:rsidRDefault="0043584A">
      <w:pPr>
        <w:pStyle w:val="Corpsdetexte"/>
        <w:spacing w:before="10"/>
        <w:rPr>
          <w:rFonts w:ascii="Times New Roman"/>
          <w:sz w:val="9"/>
        </w:rPr>
      </w:pPr>
      <w:r>
        <w:rPr>
          <w:rFonts w:ascii="Times New Roman"/>
          <w:noProof/>
          <w:color w:val="ED6421"/>
          <w:spacing w:val="-2"/>
          <w:w w:val="55"/>
          <w:sz w:val="46"/>
        </w:rPr>
        <w:drawing>
          <wp:anchor distT="0" distB="0" distL="114300" distR="114300" simplePos="0" relativeHeight="251657728" behindDoc="1" locked="0" layoutInCell="1" allowOverlap="1" wp14:anchorId="65FD87A8" wp14:editId="5824518F">
            <wp:simplePos x="0" y="0"/>
            <wp:positionH relativeFrom="column">
              <wp:posOffset>-153348</wp:posOffset>
            </wp:positionH>
            <wp:positionV relativeFrom="paragraph">
              <wp:posOffset>-279400</wp:posOffset>
            </wp:positionV>
            <wp:extent cx="7519917" cy="10627304"/>
            <wp:effectExtent l="0" t="0" r="5080" b="3175"/>
            <wp:wrapNone/>
            <wp:docPr id="20157895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2134" cy="106304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ED3CD" w14:textId="1883E352" w:rsidR="0043584A" w:rsidRDefault="0043584A">
      <w:pPr>
        <w:rPr>
          <w:rFonts w:ascii="Times New Roman"/>
          <w:color w:val="ED6421"/>
          <w:spacing w:val="-2"/>
          <w:w w:val="55"/>
          <w:sz w:val="46"/>
        </w:rPr>
      </w:pPr>
      <w:r>
        <w:rPr>
          <w:rFonts w:ascii="Times New Roman"/>
          <w:color w:val="ED6421"/>
          <w:spacing w:val="-2"/>
          <w:w w:val="55"/>
          <w:sz w:val="46"/>
        </w:rPr>
        <w:br w:type="page"/>
      </w:r>
    </w:p>
    <w:p w14:paraId="15AFFDF5" w14:textId="46CC1001" w:rsidR="00CA466B" w:rsidRDefault="00601A70">
      <w:pPr>
        <w:spacing w:before="101" w:line="232" w:lineRule="auto"/>
        <w:ind w:left="2628" w:right="636"/>
        <w:jc w:val="both"/>
        <w:rPr>
          <w:b/>
          <w:sz w:val="24"/>
        </w:rPr>
      </w:pPr>
      <w:r>
        <w:rPr>
          <w:noProof/>
        </w:rPr>
        <w:lastRenderedPageBreak/>
        <w:drawing>
          <wp:anchor distT="0" distB="0" distL="0" distR="0" simplePos="0" relativeHeight="15731200" behindDoc="0" locked="0" layoutInCell="1" allowOverlap="1" wp14:anchorId="62384553" wp14:editId="23C8785E">
            <wp:simplePos x="0" y="0"/>
            <wp:positionH relativeFrom="page">
              <wp:posOffset>211069</wp:posOffset>
            </wp:positionH>
            <wp:positionV relativeFrom="paragraph">
              <wp:posOffset>6300</wp:posOffset>
            </wp:positionV>
            <wp:extent cx="1386857" cy="172799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1386857" cy="1727998"/>
                    </a:xfrm>
                    <a:prstGeom prst="rect">
                      <a:avLst/>
                    </a:prstGeom>
                  </pic:spPr>
                </pic:pic>
              </a:graphicData>
            </a:graphic>
          </wp:anchor>
        </w:drawing>
      </w:r>
      <w:r>
        <w:rPr>
          <w:b/>
          <w:color w:val="231F20"/>
          <w:spacing w:val="-2"/>
          <w:sz w:val="24"/>
        </w:rPr>
        <w:t>Rappelons</w:t>
      </w:r>
      <w:r>
        <w:rPr>
          <w:b/>
          <w:color w:val="231F20"/>
          <w:spacing w:val="-9"/>
          <w:sz w:val="24"/>
        </w:rPr>
        <w:t xml:space="preserve"> </w:t>
      </w:r>
      <w:r>
        <w:rPr>
          <w:b/>
          <w:color w:val="231F20"/>
          <w:spacing w:val="-2"/>
          <w:sz w:val="24"/>
        </w:rPr>
        <w:t>que</w:t>
      </w:r>
      <w:r>
        <w:rPr>
          <w:b/>
          <w:color w:val="231F20"/>
          <w:spacing w:val="-9"/>
          <w:sz w:val="24"/>
        </w:rPr>
        <w:t xml:space="preserve"> </w:t>
      </w:r>
      <w:r>
        <w:rPr>
          <w:b/>
          <w:color w:val="231F20"/>
          <w:spacing w:val="-2"/>
          <w:sz w:val="24"/>
        </w:rPr>
        <w:t>depuis</w:t>
      </w:r>
      <w:r>
        <w:rPr>
          <w:b/>
          <w:color w:val="231F20"/>
          <w:spacing w:val="-9"/>
          <w:sz w:val="24"/>
        </w:rPr>
        <w:t xml:space="preserve"> </w:t>
      </w:r>
      <w:r>
        <w:rPr>
          <w:b/>
          <w:color w:val="231F20"/>
          <w:spacing w:val="-2"/>
          <w:sz w:val="24"/>
        </w:rPr>
        <w:t>la</w:t>
      </w:r>
      <w:r>
        <w:rPr>
          <w:b/>
          <w:color w:val="231F20"/>
          <w:spacing w:val="-9"/>
          <w:sz w:val="24"/>
        </w:rPr>
        <w:t xml:space="preserve"> </w:t>
      </w:r>
      <w:r>
        <w:rPr>
          <w:b/>
          <w:color w:val="231F20"/>
          <w:spacing w:val="-2"/>
          <w:sz w:val="24"/>
        </w:rPr>
        <w:t>loi</w:t>
      </w:r>
      <w:r>
        <w:rPr>
          <w:b/>
          <w:color w:val="231F20"/>
          <w:spacing w:val="-9"/>
          <w:sz w:val="24"/>
        </w:rPr>
        <w:t xml:space="preserve"> </w:t>
      </w:r>
      <w:r>
        <w:rPr>
          <w:b/>
          <w:color w:val="231F20"/>
          <w:spacing w:val="-2"/>
          <w:sz w:val="24"/>
        </w:rPr>
        <w:t>du</w:t>
      </w:r>
      <w:r>
        <w:rPr>
          <w:b/>
          <w:color w:val="231F20"/>
          <w:spacing w:val="-9"/>
          <w:sz w:val="24"/>
        </w:rPr>
        <w:t xml:space="preserve"> </w:t>
      </w:r>
      <w:r>
        <w:rPr>
          <w:b/>
          <w:color w:val="231F20"/>
          <w:spacing w:val="-2"/>
          <w:sz w:val="24"/>
        </w:rPr>
        <w:t>4</w:t>
      </w:r>
      <w:r>
        <w:rPr>
          <w:b/>
          <w:color w:val="231F20"/>
          <w:spacing w:val="-9"/>
          <w:sz w:val="24"/>
        </w:rPr>
        <w:t xml:space="preserve"> </w:t>
      </w:r>
      <w:r>
        <w:rPr>
          <w:b/>
          <w:color w:val="231F20"/>
          <w:spacing w:val="-2"/>
          <w:sz w:val="24"/>
        </w:rPr>
        <w:t>août</w:t>
      </w:r>
      <w:r>
        <w:rPr>
          <w:b/>
          <w:color w:val="231F20"/>
          <w:spacing w:val="-9"/>
          <w:sz w:val="24"/>
        </w:rPr>
        <w:t xml:space="preserve"> </w:t>
      </w:r>
      <w:r>
        <w:rPr>
          <w:b/>
          <w:color w:val="231F20"/>
          <w:spacing w:val="-2"/>
          <w:sz w:val="24"/>
        </w:rPr>
        <w:t>2014</w:t>
      </w:r>
      <w:r>
        <w:rPr>
          <w:b/>
          <w:color w:val="231F20"/>
          <w:spacing w:val="-9"/>
          <w:sz w:val="24"/>
        </w:rPr>
        <w:t xml:space="preserve"> </w:t>
      </w:r>
      <w:r>
        <w:rPr>
          <w:b/>
          <w:color w:val="231F20"/>
          <w:spacing w:val="-2"/>
          <w:sz w:val="24"/>
        </w:rPr>
        <w:t>pour</w:t>
      </w:r>
      <w:r>
        <w:rPr>
          <w:b/>
          <w:color w:val="231F20"/>
          <w:spacing w:val="-9"/>
          <w:sz w:val="24"/>
        </w:rPr>
        <w:t xml:space="preserve"> </w:t>
      </w:r>
      <w:r>
        <w:rPr>
          <w:b/>
          <w:color w:val="231F20"/>
          <w:spacing w:val="-2"/>
          <w:sz w:val="24"/>
        </w:rPr>
        <w:t>l’égalité</w:t>
      </w:r>
      <w:r>
        <w:rPr>
          <w:b/>
          <w:color w:val="231F20"/>
          <w:spacing w:val="-9"/>
          <w:sz w:val="24"/>
        </w:rPr>
        <w:t xml:space="preserve"> </w:t>
      </w:r>
      <w:r>
        <w:rPr>
          <w:b/>
          <w:color w:val="231F20"/>
          <w:spacing w:val="-2"/>
          <w:sz w:val="24"/>
        </w:rPr>
        <w:t>réelle</w:t>
      </w:r>
      <w:r>
        <w:rPr>
          <w:b/>
          <w:color w:val="231F20"/>
          <w:spacing w:val="-9"/>
          <w:sz w:val="24"/>
        </w:rPr>
        <w:t xml:space="preserve"> </w:t>
      </w:r>
      <w:r>
        <w:rPr>
          <w:b/>
          <w:color w:val="231F20"/>
          <w:spacing w:val="-2"/>
          <w:sz w:val="24"/>
        </w:rPr>
        <w:t>entre</w:t>
      </w:r>
      <w:r>
        <w:rPr>
          <w:b/>
          <w:color w:val="231F20"/>
          <w:spacing w:val="-9"/>
          <w:sz w:val="24"/>
        </w:rPr>
        <w:t xml:space="preserve"> </w:t>
      </w:r>
      <w:r>
        <w:rPr>
          <w:b/>
          <w:color w:val="231F20"/>
          <w:spacing w:val="-2"/>
          <w:sz w:val="24"/>
        </w:rPr>
        <w:t>les</w:t>
      </w:r>
      <w:r>
        <w:rPr>
          <w:b/>
          <w:color w:val="231F20"/>
          <w:spacing w:val="-9"/>
          <w:sz w:val="24"/>
        </w:rPr>
        <w:t xml:space="preserve"> </w:t>
      </w:r>
      <w:r>
        <w:rPr>
          <w:b/>
          <w:color w:val="231F20"/>
          <w:spacing w:val="-2"/>
          <w:sz w:val="24"/>
        </w:rPr>
        <w:t xml:space="preserve">femmes </w:t>
      </w:r>
      <w:r>
        <w:rPr>
          <w:b/>
          <w:color w:val="231F20"/>
          <w:sz w:val="24"/>
        </w:rPr>
        <w:t>et les hommes le document unique d’évaluation des risques professionnels (</w:t>
      </w:r>
      <w:proofErr w:type="spellStart"/>
      <w:r>
        <w:rPr>
          <w:b/>
          <w:color w:val="231F20"/>
          <w:sz w:val="24"/>
        </w:rPr>
        <w:t>Duerp</w:t>
      </w:r>
      <w:proofErr w:type="spellEnd"/>
      <w:r>
        <w:rPr>
          <w:b/>
          <w:color w:val="231F20"/>
          <w:sz w:val="24"/>
        </w:rPr>
        <w:t xml:space="preserve">), doit tenir compte du genre des </w:t>
      </w:r>
      <w:proofErr w:type="spellStart"/>
      <w:r>
        <w:rPr>
          <w:b/>
          <w:color w:val="231F20"/>
          <w:sz w:val="24"/>
        </w:rPr>
        <w:t>salarié·es</w:t>
      </w:r>
      <w:proofErr w:type="spellEnd"/>
      <w:r>
        <w:rPr>
          <w:b/>
          <w:color w:val="231F20"/>
          <w:sz w:val="24"/>
        </w:rPr>
        <w:t>.</w:t>
      </w:r>
    </w:p>
    <w:p w14:paraId="1BAE6C82" w14:textId="77777777" w:rsidR="00CA466B" w:rsidRDefault="00601A70">
      <w:pPr>
        <w:pStyle w:val="Corpsdetexte"/>
        <w:spacing w:before="121"/>
        <w:ind w:left="2628" w:right="636"/>
        <w:jc w:val="both"/>
      </w:pPr>
      <w:r>
        <w:rPr>
          <w:color w:val="231F20"/>
        </w:rPr>
        <w:t>Parfois</w:t>
      </w:r>
      <w:r>
        <w:rPr>
          <w:color w:val="231F20"/>
          <w:spacing w:val="-2"/>
        </w:rPr>
        <w:t xml:space="preserve"> </w:t>
      </w:r>
      <w:r>
        <w:rPr>
          <w:color w:val="231F20"/>
        </w:rPr>
        <w:t>déficiente,</w:t>
      </w:r>
      <w:r>
        <w:rPr>
          <w:color w:val="231F20"/>
          <w:spacing w:val="-2"/>
        </w:rPr>
        <w:t xml:space="preserve"> </w:t>
      </w:r>
      <w:r>
        <w:rPr>
          <w:color w:val="231F20"/>
        </w:rPr>
        <w:t>la</w:t>
      </w:r>
      <w:r>
        <w:rPr>
          <w:color w:val="231F20"/>
          <w:spacing w:val="-2"/>
        </w:rPr>
        <w:t xml:space="preserve"> </w:t>
      </w:r>
      <w:r>
        <w:rPr>
          <w:color w:val="231F20"/>
        </w:rPr>
        <w:t>médecine</w:t>
      </w:r>
      <w:r>
        <w:rPr>
          <w:color w:val="231F20"/>
          <w:spacing w:val="-2"/>
        </w:rPr>
        <w:t xml:space="preserve"> </w:t>
      </w:r>
      <w:r>
        <w:rPr>
          <w:color w:val="231F20"/>
        </w:rPr>
        <w:t>du</w:t>
      </w:r>
      <w:r>
        <w:rPr>
          <w:color w:val="231F20"/>
          <w:spacing w:val="-2"/>
        </w:rPr>
        <w:t xml:space="preserve"> </w:t>
      </w:r>
      <w:r>
        <w:rPr>
          <w:color w:val="231F20"/>
        </w:rPr>
        <w:t>travail</w:t>
      </w:r>
      <w:r>
        <w:rPr>
          <w:color w:val="231F20"/>
          <w:spacing w:val="-2"/>
        </w:rPr>
        <w:t xml:space="preserve"> </w:t>
      </w:r>
      <w:r>
        <w:rPr>
          <w:color w:val="231F20"/>
        </w:rPr>
        <w:t>ne</w:t>
      </w:r>
      <w:r>
        <w:rPr>
          <w:color w:val="231F20"/>
          <w:spacing w:val="-2"/>
        </w:rPr>
        <w:t xml:space="preserve"> </w:t>
      </w:r>
      <w:r>
        <w:rPr>
          <w:color w:val="231F20"/>
        </w:rPr>
        <w:t>prend</w:t>
      </w:r>
      <w:r>
        <w:rPr>
          <w:color w:val="231F20"/>
          <w:spacing w:val="-2"/>
        </w:rPr>
        <w:t xml:space="preserve"> </w:t>
      </w:r>
      <w:r>
        <w:rPr>
          <w:color w:val="231F20"/>
        </w:rPr>
        <w:t>pas</w:t>
      </w:r>
      <w:r>
        <w:rPr>
          <w:color w:val="231F20"/>
          <w:spacing w:val="-2"/>
        </w:rPr>
        <w:t xml:space="preserve"> </w:t>
      </w:r>
      <w:r>
        <w:rPr>
          <w:color w:val="231F20"/>
        </w:rPr>
        <w:t>assez</w:t>
      </w:r>
      <w:r>
        <w:rPr>
          <w:color w:val="231F20"/>
          <w:spacing w:val="-2"/>
        </w:rPr>
        <w:t xml:space="preserve"> </w:t>
      </w:r>
      <w:r>
        <w:rPr>
          <w:color w:val="231F20"/>
        </w:rPr>
        <w:t>en</w:t>
      </w:r>
      <w:r>
        <w:rPr>
          <w:color w:val="231F20"/>
          <w:spacing w:val="-2"/>
        </w:rPr>
        <w:t xml:space="preserve"> </w:t>
      </w:r>
      <w:r>
        <w:rPr>
          <w:color w:val="231F20"/>
        </w:rPr>
        <w:t>compte</w:t>
      </w:r>
      <w:r>
        <w:rPr>
          <w:color w:val="231F20"/>
          <w:spacing w:val="-2"/>
        </w:rPr>
        <w:t xml:space="preserve"> </w:t>
      </w:r>
      <w:r>
        <w:rPr>
          <w:color w:val="231F20"/>
        </w:rPr>
        <w:t>les</w:t>
      </w:r>
      <w:r>
        <w:rPr>
          <w:color w:val="231F20"/>
          <w:spacing w:val="-2"/>
        </w:rPr>
        <w:t xml:space="preserve"> </w:t>
      </w:r>
      <w:r>
        <w:rPr>
          <w:color w:val="231F20"/>
        </w:rPr>
        <w:t>femmes. La fatigue est plus marquée chez les femmes en fin de carrière. Elles ont plus d’</w:t>
      </w:r>
      <w:proofErr w:type="spellStart"/>
      <w:r>
        <w:rPr>
          <w:color w:val="231F20"/>
        </w:rPr>
        <w:t>acci</w:t>
      </w:r>
      <w:proofErr w:type="spellEnd"/>
      <w:r>
        <w:rPr>
          <w:color w:val="231F20"/>
        </w:rPr>
        <w:t>- dents du travail</w:t>
      </w:r>
      <w:r>
        <w:rPr>
          <w:color w:val="231F20"/>
          <w:spacing w:val="-2"/>
        </w:rPr>
        <w:t xml:space="preserve"> </w:t>
      </w:r>
      <w:r>
        <w:rPr>
          <w:color w:val="231F20"/>
        </w:rPr>
        <w:t>: le risque est le même aujourd’hui dans le secteur des services à la personne</w:t>
      </w:r>
      <w:r>
        <w:rPr>
          <w:color w:val="231F20"/>
          <w:spacing w:val="-5"/>
        </w:rPr>
        <w:t xml:space="preserve"> </w:t>
      </w:r>
      <w:r>
        <w:rPr>
          <w:color w:val="231F20"/>
        </w:rPr>
        <w:t>que</w:t>
      </w:r>
      <w:r>
        <w:rPr>
          <w:color w:val="231F20"/>
          <w:spacing w:val="-5"/>
        </w:rPr>
        <w:t xml:space="preserve"> </w:t>
      </w:r>
      <w:r>
        <w:rPr>
          <w:color w:val="231F20"/>
        </w:rPr>
        <w:t>dans</w:t>
      </w:r>
      <w:r>
        <w:rPr>
          <w:color w:val="231F20"/>
          <w:spacing w:val="-5"/>
        </w:rPr>
        <w:t xml:space="preserve"> </w:t>
      </w:r>
      <w:r>
        <w:rPr>
          <w:color w:val="231F20"/>
        </w:rPr>
        <w:t>le</w:t>
      </w:r>
      <w:r>
        <w:rPr>
          <w:color w:val="231F20"/>
          <w:spacing w:val="-5"/>
        </w:rPr>
        <w:t xml:space="preserve"> </w:t>
      </w:r>
      <w:r>
        <w:rPr>
          <w:color w:val="231F20"/>
        </w:rPr>
        <w:t>BTP.</w:t>
      </w:r>
      <w:r>
        <w:rPr>
          <w:color w:val="231F20"/>
          <w:spacing w:val="-5"/>
        </w:rPr>
        <w:t xml:space="preserve"> </w:t>
      </w:r>
      <w:r>
        <w:rPr>
          <w:color w:val="231F20"/>
        </w:rPr>
        <w:t>Les</w:t>
      </w:r>
      <w:r>
        <w:rPr>
          <w:color w:val="231F20"/>
          <w:spacing w:val="-5"/>
        </w:rPr>
        <w:t xml:space="preserve"> </w:t>
      </w:r>
      <w:r>
        <w:rPr>
          <w:color w:val="231F20"/>
        </w:rPr>
        <w:t>risques</w:t>
      </w:r>
      <w:r>
        <w:rPr>
          <w:color w:val="231F20"/>
          <w:spacing w:val="-5"/>
        </w:rPr>
        <w:t xml:space="preserve"> </w:t>
      </w:r>
      <w:r>
        <w:rPr>
          <w:color w:val="231F20"/>
        </w:rPr>
        <w:t>spécifiques</w:t>
      </w:r>
      <w:r>
        <w:rPr>
          <w:color w:val="231F20"/>
          <w:spacing w:val="-5"/>
        </w:rPr>
        <w:t xml:space="preserve"> </w:t>
      </w:r>
      <w:r>
        <w:rPr>
          <w:color w:val="231F20"/>
        </w:rPr>
        <w:t>des</w:t>
      </w:r>
      <w:r>
        <w:rPr>
          <w:color w:val="231F20"/>
          <w:spacing w:val="-5"/>
        </w:rPr>
        <w:t xml:space="preserve"> </w:t>
      </w:r>
      <w:r>
        <w:rPr>
          <w:color w:val="231F20"/>
        </w:rPr>
        <w:t>métiers</w:t>
      </w:r>
      <w:r>
        <w:rPr>
          <w:color w:val="231F20"/>
          <w:spacing w:val="-5"/>
        </w:rPr>
        <w:t xml:space="preserve"> </w:t>
      </w:r>
      <w:r>
        <w:rPr>
          <w:color w:val="231F20"/>
        </w:rPr>
        <w:t>occupées</w:t>
      </w:r>
      <w:r>
        <w:rPr>
          <w:color w:val="231F20"/>
          <w:spacing w:val="-5"/>
        </w:rPr>
        <w:t xml:space="preserve"> </w:t>
      </w:r>
      <w:r>
        <w:rPr>
          <w:color w:val="231F20"/>
        </w:rPr>
        <w:t>majoritaire- ment</w:t>
      </w:r>
      <w:r>
        <w:rPr>
          <w:color w:val="231F20"/>
          <w:spacing w:val="-8"/>
        </w:rPr>
        <w:t xml:space="preserve"> </w:t>
      </w:r>
      <w:r>
        <w:rPr>
          <w:color w:val="231F20"/>
        </w:rPr>
        <w:t>par</w:t>
      </w:r>
      <w:r>
        <w:rPr>
          <w:color w:val="231F20"/>
          <w:spacing w:val="-8"/>
        </w:rPr>
        <w:t xml:space="preserve"> </w:t>
      </w:r>
      <w:r>
        <w:rPr>
          <w:color w:val="231F20"/>
        </w:rPr>
        <w:t>les</w:t>
      </w:r>
      <w:r>
        <w:rPr>
          <w:color w:val="231F20"/>
          <w:spacing w:val="-8"/>
        </w:rPr>
        <w:t xml:space="preserve"> </w:t>
      </w:r>
      <w:r>
        <w:rPr>
          <w:color w:val="231F20"/>
        </w:rPr>
        <w:t>femmes</w:t>
      </w:r>
      <w:r>
        <w:rPr>
          <w:color w:val="231F20"/>
          <w:spacing w:val="-8"/>
        </w:rPr>
        <w:t xml:space="preserve"> </w:t>
      </w:r>
      <w:r>
        <w:rPr>
          <w:color w:val="231F20"/>
        </w:rPr>
        <w:t>ne</w:t>
      </w:r>
      <w:r>
        <w:rPr>
          <w:color w:val="231F20"/>
          <w:spacing w:val="-8"/>
        </w:rPr>
        <w:t xml:space="preserve"> </w:t>
      </w:r>
      <w:r>
        <w:rPr>
          <w:color w:val="231F20"/>
        </w:rPr>
        <w:t>sont</w:t>
      </w:r>
      <w:r>
        <w:rPr>
          <w:color w:val="231F20"/>
          <w:spacing w:val="-8"/>
        </w:rPr>
        <w:t xml:space="preserve"> </w:t>
      </w:r>
      <w:r>
        <w:rPr>
          <w:color w:val="231F20"/>
        </w:rPr>
        <w:t>pas</w:t>
      </w:r>
      <w:r>
        <w:rPr>
          <w:color w:val="231F20"/>
          <w:spacing w:val="-8"/>
        </w:rPr>
        <w:t xml:space="preserve"> </w:t>
      </w:r>
      <w:r>
        <w:rPr>
          <w:color w:val="231F20"/>
        </w:rPr>
        <w:t>suffisamment</w:t>
      </w:r>
      <w:r>
        <w:rPr>
          <w:color w:val="231F20"/>
          <w:spacing w:val="-8"/>
        </w:rPr>
        <w:t xml:space="preserve"> </w:t>
      </w:r>
      <w:r>
        <w:rPr>
          <w:color w:val="231F20"/>
        </w:rPr>
        <w:t>pris</w:t>
      </w:r>
      <w:r>
        <w:rPr>
          <w:color w:val="231F20"/>
          <w:spacing w:val="-8"/>
        </w:rPr>
        <w:t xml:space="preserve"> </w:t>
      </w:r>
      <w:r>
        <w:rPr>
          <w:color w:val="231F20"/>
        </w:rPr>
        <w:t>en</w:t>
      </w:r>
      <w:r>
        <w:rPr>
          <w:color w:val="231F20"/>
          <w:spacing w:val="-8"/>
        </w:rPr>
        <w:t xml:space="preserve"> </w:t>
      </w:r>
      <w:r>
        <w:rPr>
          <w:color w:val="231F20"/>
        </w:rPr>
        <w:t>compte</w:t>
      </w:r>
      <w:r>
        <w:rPr>
          <w:color w:val="231F20"/>
          <w:spacing w:val="-8"/>
        </w:rPr>
        <w:t xml:space="preserve"> </w:t>
      </w:r>
      <w:r>
        <w:rPr>
          <w:color w:val="231F20"/>
        </w:rPr>
        <w:t>dans</w:t>
      </w:r>
      <w:r>
        <w:rPr>
          <w:color w:val="231F20"/>
          <w:spacing w:val="-8"/>
        </w:rPr>
        <w:t xml:space="preserve"> </w:t>
      </w:r>
      <w:r>
        <w:rPr>
          <w:color w:val="231F20"/>
        </w:rPr>
        <w:t>la</w:t>
      </w:r>
      <w:r>
        <w:rPr>
          <w:color w:val="231F20"/>
          <w:spacing w:val="-8"/>
        </w:rPr>
        <w:t xml:space="preserve"> </w:t>
      </w:r>
      <w:r>
        <w:rPr>
          <w:color w:val="231F20"/>
        </w:rPr>
        <w:t>prévention</w:t>
      </w:r>
      <w:r>
        <w:rPr>
          <w:color w:val="231F20"/>
          <w:spacing w:val="-8"/>
        </w:rPr>
        <w:t xml:space="preserve"> </w:t>
      </w:r>
      <w:r>
        <w:rPr>
          <w:color w:val="231F20"/>
        </w:rPr>
        <w:t>et l’organisation du travail.</w:t>
      </w:r>
    </w:p>
    <w:p w14:paraId="0D857C2A" w14:textId="77777777" w:rsidR="00CA466B" w:rsidRDefault="00601A70">
      <w:pPr>
        <w:pStyle w:val="Corpsdetexte"/>
        <w:spacing w:before="117"/>
        <w:ind w:left="2628" w:right="637"/>
        <w:jc w:val="both"/>
      </w:pPr>
      <w:r>
        <w:rPr>
          <w:color w:val="231F20"/>
        </w:rPr>
        <w:t>Les</w:t>
      </w:r>
      <w:r>
        <w:rPr>
          <w:color w:val="231F20"/>
          <w:spacing w:val="-10"/>
        </w:rPr>
        <w:t xml:space="preserve"> </w:t>
      </w:r>
      <w:r>
        <w:rPr>
          <w:color w:val="231F20"/>
        </w:rPr>
        <w:t>équipements</w:t>
      </w:r>
      <w:r>
        <w:rPr>
          <w:color w:val="231F20"/>
          <w:spacing w:val="-10"/>
        </w:rPr>
        <w:t xml:space="preserve"> </w:t>
      </w:r>
      <w:r>
        <w:rPr>
          <w:color w:val="231F20"/>
        </w:rPr>
        <w:t>de</w:t>
      </w:r>
      <w:r>
        <w:rPr>
          <w:color w:val="231F20"/>
          <w:spacing w:val="-10"/>
        </w:rPr>
        <w:t xml:space="preserve"> </w:t>
      </w:r>
      <w:r>
        <w:rPr>
          <w:color w:val="231F20"/>
        </w:rPr>
        <w:t>protection</w:t>
      </w:r>
      <w:r>
        <w:rPr>
          <w:color w:val="231F20"/>
          <w:spacing w:val="-10"/>
        </w:rPr>
        <w:t xml:space="preserve"> </w:t>
      </w:r>
      <w:r>
        <w:rPr>
          <w:color w:val="231F20"/>
        </w:rPr>
        <w:t>ne</w:t>
      </w:r>
      <w:r>
        <w:rPr>
          <w:color w:val="231F20"/>
          <w:spacing w:val="-10"/>
        </w:rPr>
        <w:t xml:space="preserve"> </w:t>
      </w:r>
      <w:r>
        <w:rPr>
          <w:color w:val="231F20"/>
        </w:rPr>
        <w:t>sont</w:t>
      </w:r>
      <w:r>
        <w:rPr>
          <w:color w:val="231F20"/>
          <w:spacing w:val="-10"/>
        </w:rPr>
        <w:t xml:space="preserve"> </w:t>
      </w:r>
      <w:r>
        <w:rPr>
          <w:color w:val="231F20"/>
        </w:rPr>
        <w:t>pas</w:t>
      </w:r>
      <w:r>
        <w:rPr>
          <w:color w:val="231F20"/>
          <w:spacing w:val="-10"/>
        </w:rPr>
        <w:t xml:space="preserve"> </w:t>
      </w:r>
      <w:r>
        <w:rPr>
          <w:color w:val="231F20"/>
        </w:rPr>
        <w:t>toujours</w:t>
      </w:r>
      <w:r>
        <w:rPr>
          <w:color w:val="231F20"/>
          <w:spacing w:val="-10"/>
        </w:rPr>
        <w:t xml:space="preserve"> </w:t>
      </w:r>
      <w:r>
        <w:rPr>
          <w:color w:val="231F20"/>
        </w:rPr>
        <w:t>adaptés</w:t>
      </w:r>
      <w:r>
        <w:rPr>
          <w:color w:val="231F20"/>
          <w:spacing w:val="-10"/>
        </w:rPr>
        <w:t xml:space="preserve"> </w:t>
      </w:r>
      <w:r>
        <w:rPr>
          <w:color w:val="231F20"/>
        </w:rPr>
        <w:t>à</w:t>
      </w:r>
      <w:r>
        <w:rPr>
          <w:color w:val="231F20"/>
          <w:spacing w:val="-10"/>
        </w:rPr>
        <w:t xml:space="preserve"> </w:t>
      </w:r>
      <w:r>
        <w:rPr>
          <w:color w:val="231F20"/>
        </w:rPr>
        <w:t>des</w:t>
      </w:r>
      <w:r>
        <w:rPr>
          <w:color w:val="231F20"/>
          <w:spacing w:val="-10"/>
        </w:rPr>
        <w:t xml:space="preserve"> </w:t>
      </w:r>
      <w:r>
        <w:rPr>
          <w:color w:val="231F20"/>
        </w:rPr>
        <w:t>corps</w:t>
      </w:r>
      <w:r>
        <w:rPr>
          <w:color w:val="231F20"/>
          <w:spacing w:val="-10"/>
        </w:rPr>
        <w:t xml:space="preserve"> </w:t>
      </w:r>
      <w:r>
        <w:rPr>
          <w:color w:val="231F20"/>
        </w:rPr>
        <w:t>de</w:t>
      </w:r>
      <w:r>
        <w:rPr>
          <w:color w:val="231F20"/>
          <w:spacing w:val="-10"/>
        </w:rPr>
        <w:t xml:space="preserve"> </w:t>
      </w:r>
      <w:r>
        <w:rPr>
          <w:color w:val="231F20"/>
        </w:rPr>
        <w:t xml:space="preserve">femmes, les configurations et rythmes de travail sont parfois inchangées pendant la gros- </w:t>
      </w:r>
      <w:proofErr w:type="spellStart"/>
      <w:r>
        <w:rPr>
          <w:color w:val="231F20"/>
        </w:rPr>
        <w:t>sesse</w:t>
      </w:r>
      <w:proofErr w:type="spellEnd"/>
      <w:r>
        <w:rPr>
          <w:color w:val="231F20"/>
        </w:rPr>
        <w:t xml:space="preserve"> ou l’allaitement. Les pathologies féminines (endométriose) ne sont pas </w:t>
      </w:r>
      <w:proofErr w:type="spellStart"/>
      <w:r>
        <w:rPr>
          <w:color w:val="231F20"/>
        </w:rPr>
        <w:t>tou</w:t>
      </w:r>
      <w:proofErr w:type="spellEnd"/>
      <w:r>
        <w:rPr>
          <w:color w:val="231F20"/>
        </w:rPr>
        <w:t>- jours prises en compte correctement. La ménopause a des incidences physiques et psychologiques qui impactent le quotidien y compris au travail.</w:t>
      </w:r>
    </w:p>
    <w:p w14:paraId="54F90EEE" w14:textId="77777777" w:rsidR="00CA466B" w:rsidRDefault="00601A70">
      <w:pPr>
        <w:pStyle w:val="Corpsdetexte"/>
        <w:ind w:left="2628" w:right="638"/>
        <w:jc w:val="both"/>
      </w:pPr>
      <w:r>
        <w:rPr>
          <w:color w:val="231F20"/>
          <w:spacing w:val="-2"/>
        </w:rPr>
        <w:t>La</w:t>
      </w:r>
      <w:r>
        <w:rPr>
          <w:color w:val="231F20"/>
          <w:spacing w:val="-10"/>
        </w:rPr>
        <w:t xml:space="preserve"> </w:t>
      </w:r>
      <w:r>
        <w:rPr>
          <w:color w:val="231F20"/>
          <w:spacing w:val="-2"/>
        </w:rPr>
        <w:t>volonté</w:t>
      </w:r>
      <w:r>
        <w:rPr>
          <w:color w:val="231F20"/>
          <w:spacing w:val="-10"/>
        </w:rPr>
        <w:t xml:space="preserve"> </w:t>
      </w:r>
      <w:r>
        <w:rPr>
          <w:color w:val="231F20"/>
          <w:spacing w:val="-2"/>
        </w:rPr>
        <w:t>de</w:t>
      </w:r>
      <w:r>
        <w:rPr>
          <w:color w:val="231F20"/>
          <w:spacing w:val="-10"/>
        </w:rPr>
        <w:t xml:space="preserve"> </w:t>
      </w:r>
      <w:r>
        <w:rPr>
          <w:color w:val="231F20"/>
          <w:spacing w:val="-2"/>
        </w:rPr>
        <w:t>la</w:t>
      </w:r>
      <w:r>
        <w:rPr>
          <w:color w:val="231F20"/>
          <w:spacing w:val="-10"/>
        </w:rPr>
        <w:t xml:space="preserve"> </w:t>
      </w:r>
      <w:r>
        <w:rPr>
          <w:color w:val="231F20"/>
          <w:spacing w:val="-2"/>
        </w:rPr>
        <w:t>CFDT</w:t>
      </w:r>
      <w:r>
        <w:rPr>
          <w:color w:val="231F20"/>
          <w:spacing w:val="-10"/>
        </w:rPr>
        <w:t xml:space="preserve"> </w:t>
      </w:r>
      <w:r>
        <w:rPr>
          <w:color w:val="231F20"/>
          <w:spacing w:val="-2"/>
        </w:rPr>
        <w:t>est</w:t>
      </w:r>
      <w:r>
        <w:rPr>
          <w:color w:val="231F20"/>
          <w:spacing w:val="-10"/>
        </w:rPr>
        <w:t xml:space="preserve"> </w:t>
      </w:r>
      <w:r>
        <w:rPr>
          <w:color w:val="231F20"/>
          <w:spacing w:val="-2"/>
        </w:rPr>
        <w:t>de</w:t>
      </w:r>
      <w:r>
        <w:rPr>
          <w:color w:val="231F20"/>
          <w:spacing w:val="-10"/>
        </w:rPr>
        <w:t xml:space="preserve"> </w:t>
      </w:r>
      <w:r>
        <w:rPr>
          <w:color w:val="231F20"/>
          <w:spacing w:val="-2"/>
        </w:rPr>
        <w:t>lutter</w:t>
      </w:r>
      <w:r>
        <w:rPr>
          <w:color w:val="231F20"/>
          <w:spacing w:val="8"/>
        </w:rPr>
        <w:t xml:space="preserve"> </w:t>
      </w:r>
      <w:r>
        <w:rPr>
          <w:color w:val="231F20"/>
          <w:spacing w:val="-2"/>
        </w:rPr>
        <w:t>contre</w:t>
      </w:r>
      <w:r>
        <w:rPr>
          <w:color w:val="231F20"/>
          <w:spacing w:val="-10"/>
        </w:rPr>
        <w:t xml:space="preserve"> </w:t>
      </w:r>
      <w:r>
        <w:rPr>
          <w:color w:val="231F20"/>
          <w:spacing w:val="-2"/>
        </w:rPr>
        <w:t>l’invisibilité</w:t>
      </w:r>
      <w:r>
        <w:rPr>
          <w:color w:val="231F20"/>
          <w:spacing w:val="-10"/>
        </w:rPr>
        <w:t xml:space="preserve"> </w:t>
      </w:r>
      <w:r>
        <w:rPr>
          <w:color w:val="231F20"/>
          <w:spacing w:val="-2"/>
        </w:rPr>
        <w:t>de</w:t>
      </w:r>
      <w:r>
        <w:rPr>
          <w:color w:val="231F20"/>
          <w:spacing w:val="-10"/>
        </w:rPr>
        <w:t xml:space="preserve"> </w:t>
      </w:r>
      <w:r>
        <w:rPr>
          <w:color w:val="231F20"/>
          <w:spacing w:val="-2"/>
        </w:rPr>
        <w:t>l’exposition</w:t>
      </w:r>
      <w:r>
        <w:rPr>
          <w:color w:val="231F20"/>
          <w:spacing w:val="-10"/>
        </w:rPr>
        <w:t xml:space="preserve"> </w:t>
      </w:r>
      <w:r>
        <w:rPr>
          <w:color w:val="231F20"/>
          <w:spacing w:val="-2"/>
        </w:rPr>
        <w:t>à</w:t>
      </w:r>
      <w:r>
        <w:rPr>
          <w:color w:val="231F20"/>
          <w:spacing w:val="-10"/>
        </w:rPr>
        <w:t xml:space="preserve"> </w:t>
      </w:r>
      <w:r>
        <w:rPr>
          <w:color w:val="231F20"/>
          <w:spacing w:val="-2"/>
        </w:rPr>
        <w:t>certains</w:t>
      </w:r>
      <w:r>
        <w:rPr>
          <w:color w:val="231F20"/>
          <w:spacing w:val="-10"/>
        </w:rPr>
        <w:t xml:space="preserve"> </w:t>
      </w:r>
      <w:r>
        <w:rPr>
          <w:color w:val="231F20"/>
          <w:spacing w:val="-2"/>
        </w:rPr>
        <w:t xml:space="preserve">risques </w:t>
      </w:r>
      <w:r>
        <w:rPr>
          <w:color w:val="231F20"/>
        </w:rPr>
        <w:t>professionnels chez les femmes.</w:t>
      </w:r>
    </w:p>
    <w:p w14:paraId="71BE98B9" w14:textId="77777777" w:rsidR="00CA466B" w:rsidRDefault="00601A70">
      <w:pPr>
        <w:pStyle w:val="Corpsdetexte"/>
        <w:spacing w:before="116"/>
        <w:ind w:left="2628" w:right="637"/>
        <w:jc w:val="both"/>
      </w:pPr>
      <w:r>
        <w:rPr>
          <w:color w:val="231F20"/>
        </w:rPr>
        <w:t>Ainsi la CFDT revendique une meilleure connaissance des facteurs professionnels pouvant</w:t>
      </w:r>
      <w:r>
        <w:rPr>
          <w:color w:val="231F20"/>
          <w:spacing w:val="-12"/>
        </w:rPr>
        <w:t xml:space="preserve"> </w:t>
      </w:r>
      <w:r>
        <w:rPr>
          <w:color w:val="231F20"/>
        </w:rPr>
        <w:t>provoquer</w:t>
      </w:r>
      <w:r>
        <w:rPr>
          <w:color w:val="231F20"/>
          <w:spacing w:val="-12"/>
        </w:rPr>
        <w:t xml:space="preserve"> </w:t>
      </w:r>
      <w:r>
        <w:rPr>
          <w:color w:val="231F20"/>
        </w:rPr>
        <w:t>un</w:t>
      </w:r>
      <w:r>
        <w:rPr>
          <w:color w:val="231F20"/>
          <w:spacing w:val="-12"/>
        </w:rPr>
        <w:t xml:space="preserve"> </w:t>
      </w:r>
      <w:r>
        <w:rPr>
          <w:color w:val="231F20"/>
        </w:rPr>
        <w:t>cancer</w:t>
      </w:r>
      <w:r>
        <w:rPr>
          <w:color w:val="231F20"/>
          <w:spacing w:val="-12"/>
        </w:rPr>
        <w:t xml:space="preserve"> </w:t>
      </w:r>
      <w:r>
        <w:rPr>
          <w:color w:val="231F20"/>
        </w:rPr>
        <w:t>du</w:t>
      </w:r>
      <w:r>
        <w:rPr>
          <w:color w:val="231F20"/>
          <w:spacing w:val="-12"/>
        </w:rPr>
        <w:t xml:space="preserve"> </w:t>
      </w:r>
      <w:r>
        <w:rPr>
          <w:color w:val="231F20"/>
        </w:rPr>
        <w:t>sein</w:t>
      </w:r>
      <w:r>
        <w:rPr>
          <w:color w:val="231F20"/>
          <w:spacing w:val="-12"/>
        </w:rPr>
        <w:t xml:space="preserve"> </w:t>
      </w:r>
      <w:r>
        <w:rPr>
          <w:color w:val="231F20"/>
        </w:rPr>
        <w:t>pour</w:t>
      </w:r>
      <w:r>
        <w:rPr>
          <w:color w:val="231F20"/>
          <w:spacing w:val="-12"/>
        </w:rPr>
        <w:t xml:space="preserve"> </w:t>
      </w:r>
      <w:r>
        <w:rPr>
          <w:color w:val="231F20"/>
        </w:rPr>
        <w:t>améliorer</w:t>
      </w:r>
      <w:r>
        <w:rPr>
          <w:color w:val="231F20"/>
          <w:spacing w:val="-12"/>
        </w:rPr>
        <w:t xml:space="preserve"> </w:t>
      </w:r>
      <w:r>
        <w:rPr>
          <w:color w:val="231F20"/>
        </w:rPr>
        <w:t>les</w:t>
      </w:r>
      <w:r>
        <w:rPr>
          <w:color w:val="231F20"/>
          <w:spacing w:val="-12"/>
        </w:rPr>
        <w:t xml:space="preserve"> </w:t>
      </w:r>
      <w:r>
        <w:rPr>
          <w:color w:val="231F20"/>
        </w:rPr>
        <w:t>dispositifs</w:t>
      </w:r>
      <w:r>
        <w:rPr>
          <w:color w:val="231F20"/>
          <w:spacing w:val="-12"/>
        </w:rPr>
        <w:t xml:space="preserve"> </w:t>
      </w:r>
      <w:r>
        <w:rPr>
          <w:color w:val="231F20"/>
        </w:rPr>
        <w:t>de</w:t>
      </w:r>
      <w:r>
        <w:rPr>
          <w:color w:val="231F20"/>
          <w:spacing w:val="-12"/>
        </w:rPr>
        <w:t xml:space="preserve"> </w:t>
      </w:r>
      <w:r>
        <w:rPr>
          <w:color w:val="231F20"/>
        </w:rPr>
        <w:t>prévention,</w:t>
      </w:r>
      <w:r>
        <w:rPr>
          <w:color w:val="231F20"/>
          <w:spacing w:val="-12"/>
        </w:rPr>
        <w:t xml:space="preserve"> </w:t>
      </w:r>
      <w:r>
        <w:rPr>
          <w:color w:val="231F20"/>
        </w:rPr>
        <w:t>et sensibiliser les employeurs et les travailleurs- travailleuses à ce risque.</w:t>
      </w:r>
    </w:p>
    <w:p w14:paraId="37F5F05C" w14:textId="77777777" w:rsidR="00CA466B" w:rsidRDefault="00601A70">
      <w:pPr>
        <w:pStyle w:val="Corpsdetexte"/>
        <w:ind w:left="2628" w:right="637"/>
        <w:jc w:val="both"/>
      </w:pPr>
      <w:r>
        <w:rPr>
          <w:color w:val="231F20"/>
        </w:rPr>
        <w:t>La</w:t>
      </w:r>
      <w:r>
        <w:rPr>
          <w:color w:val="231F20"/>
          <w:spacing w:val="-6"/>
        </w:rPr>
        <w:t xml:space="preserve"> </w:t>
      </w:r>
      <w:r>
        <w:rPr>
          <w:color w:val="231F20"/>
        </w:rPr>
        <w:t>CFDT</w:t>
      </w:r>
      <w:r>
        <w:rPr>
          <w:color w:val="231F20"/>
          <w:spacing w:val="-6"/>
        </w:rPr>
        <w:t xml:space="preserve"> </w:t>
      </w:r>
      <w:r>
        <w:rPr>
          <w:color w:val="231F20"/>
        </w:rPr>
        <w:t>a</w:t>
      </w:r>
      <w:r>
        <w:rPr>
          <w:color w:val="231F20"/>
          <w:spacing w:val="-6"/>
        </w:rPr>
        <w:t xml:space="preserve"> </w:t>
      </w:r>
      <w:r>
        <w:rPr>
          <w:color w:val="231F20"/>
        </w:rPr>
        <w:t>saisi</w:t>
      </w:r>
      <w:r>
        <w:rPr>
          <w:color w:val="231F20"/>
          <w:spacing w:val="-6"/>
        </w:rPr>
        <w:t xml:space="preserve"> </w:t>
      </w:r>
      <w:r>
        <w:rPr>
          <w:color w:val="231F20"/>
        </w:rPr>
        <w:t>l’Agence</w:t>
      </w:r>
      <w:r>
        <w:rPr>
          <w:color w:val="231F20"/>
          <w:spacing w:val="-6"/>
        </w:rPr>
        <w:t xml:space="preserve"> </w:t>
      </w:r>
      <w:r>
        <w:rPr>
          <w:color w:val="231F20"/>
        </w:rPr>
        <w:t>Nationale</w:t>
      </w:r>
      <w:r>
        <w:rPr>
          <w:color w:val="231F20"/>
          <w:spacing w:val="-6"/>
        </w:rPr>
        <w:t xml:space="preserve"> </w:t>
      </w:r>
      <w:r>
        <w:rPr>
          <w:color w:val="231F20"/>
        </w:rPr>
        <w:t>de</w:t>
      </w:r>
      <w:r>
        <w:rPr>
          <w:color w:val="231F20"/>
          <w:spacing w:val="-6"/>
        </w:rPr>
        <w:t xml:space="preserve"> </w:t>
      </w:r>
      <w:r>
        <w:rPr>
          <w:color w:val="231F20"/>
        </w:rPr>
        <w:t>Sécurité</w:t>
      </w:r>
      <w:r>
        <w:rPr>
          <w:color w:val="231F20"/>
          <w:spacing w:val="-6"/>
        </w:rPr>
        <w:t xml:space="preserve"> </w:t>
      </w:r>
      <w:r>
        <w:rPr>
          <w:color w:val="231F20"/>
        </w:rPr>
        <w:t>Sanitaire</w:t>
      </w:r>
      <w:r>
        <w:rPr>
          <w:color w:val="231F20"/>
          <w:spacing w:val="-8"/>
        </w:rPr>
        <w:t xml:space="preserve"> </w:t>
      </w:r>
      <w:r>
        <w:rPr>
          <w:color w:val="231F20"/>
        </w:rPr>
        <w:t>:</w:t>
      </w:r>
      <w:r>
        <w:rPr>
          <w:color w:val="231F20"/>
          <w:spacing w:val="-6"/>
        </w:rPr>
        <w:t xml:space="preserve"> </w:t>
      </w:r>
      <w:hyperlink r:id="rId6">
        <w:r>
          <w:rPr>
            <w:color w:val="205E9E"/>
            <w:u w:val="single" w:color="205E9E"/>
          </w:rPr>
          <w:t>https://www.cfdt.fr/portail/</w:t>
        </w:r>
      </w:hyperlink>
      <w:r>
        <w:rPr>
          <w:color w:val="205E9E"/>
        </w:rPr>
        <w:t xml:space="preserve"> </w:t>
      </w:r>
      <w:hyperlink r:id="rId7">
        <w:r>
          <w:rPr>
            <w:color w:val="205E9E"/>
            <w:spacing w:val="-2"/>
            <w:u w:val="single" w:color="205E9E"/>
          </w:rPr>
          <w:t>presse/communiques-de-presse/cancer-du-sein-pour-une-reconnaissance-de-l-ex-</w:t>
        </w:r>
      </w:hyperlink>
      <w:r>
        <w:rPr>
          <w:color w:val="205E9E"/>
          <w:spacing w:val="-2"/>
        </w:rPr>
        <w:t xml:space="preserve"> </w:t>
      </w:r>
      <w:hyperlink r:id="rId8">
        <w:r>
          <w:rPr>
            <w:color w:val="205E9E"/>
            <w:spacing w:val="-2"/>
            <w:u w:val="single" w:color="205E9E"/>
          </w:rPr>
          <w:t>position-a-certains-risques-professionnels-srv1_1341295</w:t>
        </w:r>
        <w:r>
          <w:rPr>
            <w:color w:val="205E9E"/>
            <w:spacing w:val="80"/>
            <w:u w:val="single" w:color="205E9E"/>
          </w:rPr>
          <w:t xml:space="preserve"> </w:t>
        </w:r>
      </w:hyperlink>
    </w:p>
    <w:p w14:paraId="7112DCB3" w14:textId="77777777" w:rsidR="00CA466B" w:rsidRDefault="00601A70">
      <w:pPr>
        <w:pStyle w:val="Corpsdetexte"/>
        <w:spacing w:before="117"/>
        <w:ind w:left="2628" w:right="637"/>
        <w:jc w:val="both"/>
      </w:pPr>
      <w:r>
        <w:rPr>
          <w:color w:val="231F20"/>
        </w:rPr>
        <w:t>Le</w:t>
      </w:r>
      <w:r>
        <w:rPr>
          <w:color w:val="231F20"/>
          <w:spacing w:val="-2"/>
        </w:rPr>
        <w:t xml:space="preserve"> </w:t>
      </w:r>
      <w:r>
        <w:rPr>
          <w:color w:val="231F20"/>
        </w:rPr>
        <w:t>genre</w:t>
      </w:r>
      <w:r>
        <w:rPr>
          <w:color w:val="231F20"/>
          <w:spacing w:val="-2"/>
        </w:rPr>
        <w:t xml:space="preserve"> </w:t>
      </w:r>
      <w:r>
        <w:rPr>
          <w:color w:val="231F20"/>
        </w:rPr>
        <w:t>est</w:t>
      </w:r>
      <w:r>
        <w:rPr>
          <w:color w:val="231F20"/>
          <w:spacing w:val="-2"/>
        </w:rPr>
        <w:t xml:space="preserve"> </w:t>
      </w:r>
      <w:r>
        <w:rPr>
          <w:color w:val="231F20"/>
        </w:rPr>
        <w:t>une</w:t>
      </w:r>
      <w:r>
        <w:rPr>
          <w:color w:val="231F20"/>
          <w:spacing w:val="-2"/>
        </w:rPr>
        <w:t xml:space="preserve"> </w:t>
      </w:r>
      <w:r>
        <w:rPr>
          <w:color w:val="231F20"/>
        </w:rPr>
        <w:t>dimension</w:t>
      </w:r>
      <w:r>
        <w:rPr>
          <w:color w:val="231F20"/>
          <w:spacing w:val="-2"/>
        </w:rPr>
        <w:t xml:space="preserve"> </w:t>
      </w:r>
      <w:r>
        <w:rPr>
          <w:color w:val="231F20"/>
        </w:rPr>
        <w:t>importante</w:t>
      </w:r>
      <w:r>
        <w:rPr>
          <w:color w:val="231F20"/>
          <w:spacing w:val="-2"/>
        </w:rPr>
        <w:t xml:space="preserve"> </w:t>
      </w:r>
      <w:r>
        <w:rPr>
          <w:color w:val="231F20"/>
        </w:rPr>
        <w:t>qui</w:t>
      </w:r>
      <w:r>
        <w:rPr>
          <w:color w:val="231F20"/>
          <w:spacing w:val="-2"/>
        </w:rPr>
        <w:t xml:space="preserve"> </w:t>
      </w:r>
      <w:r>
        <w:rPr>
          <w:color w:val="231F20"/>
        </w:rPr>
        <w:t>doit</w:t>
      </w:r>
      <w:r>
        <w:rPr>
          <w:color w:val="231F20"/>
          <w:spacing w:val="-2"/>
        </w:rPr>
        <w:t xml:space="preserve"> </w:t>
      </w:r>
      <w:r>
        <w:rPr>
          <w:color w:val="231F20"/>
        </w:rPr>
        <w:t>être</w:t>
      </w:r>
      <w:r>
        <w:rPr>
          <w:color w:val="231F20"/>
          <w:spacing w:val="-2"/>
        </w:rPr>
        <w:t xml:space="preserve"> </w:t>
      </w:r>
      <w:r>
        <w:rPr>
          <w:color w:val="231F20"/>
        </w:rPr>
        <w:t>prise</w:t>
      </w:r>
      <w:r>
        <w:rPr>
          <w:color w:val="231F20"/>
          <w:spacing w:val="-2"/>
        </w:rPr>
        <w:t xml:space="preserve"> </w:t>
      </w:r>
      <w:r>
        <w:rPr>
          <w:color w:val="231F20"/>
        </w:rPr>
        <w:t>en</w:t>
      </w:r>
      <w:r>
        <w:rPr>
          <w:color w:val="231F20"/>
          <w:spacing w:val="-2"/>
        </w:rPr>
        <w:t xml:space="preserve"> </w:t>
      </w:r>
      <w:r>
        <w:rPr>
          <w:color w:val="231F20"/>
        </w:rPr>
        <w:t>compte</w:t>
      </w:r>
      <w:r>
        <w:rPr>
          <w:color w:val="231F20"/>
          <w:spacing w:val="-2"/>
        </w:rPr>
        <w:t xml:space="preserve"> </w:t>
      </w:r>
      <w:r>
        <w:rPr>
          <w:color w:val="231F20"/>
        </w:rPr>
        <w:t>dans</w:t>
      </w:r>
      <w:r>
        <w:rPr>
          <w:color w:val="231F20"/>
          <w:spacing w:val="-2"/>
        </w:rPr>
        <w:t xml:space="preserve"> </w:t>
      </w:r>
      <w:r>
        <w:rPr>
          <w:color w:val="231F20"/>
        </w:rPr>
        <w:t>l’analyse de tous les sujets de santé de sécurité et de conditions de travail ainsi que dans la gestion des fins de carrière et des phénomènes d’usure précoce il y a urgence.</w:t>
      </w:r>
    </w:p>
    <w:p w14:paraId="7BA9B2B7" w14:textId="77777777" w:rsidR="00CA466B" w:rsidRDefault="00601A70">
      <w:pPr>
        <w:pStyle w:val="Corpsdetexte"/>
        <w:ind w:left="2628" w:right="637"/>
        <w:jc w:val="both"/>
      </w:pPr>
      <w:r>
        <w:rPr>
          <w:color w:val="231F20"/>
        </w:rPr>
        <w:t>Le taux d’incidence annuel des déclarations d’inaptitude est supérieur chez les femmes</w:t>
      </w:r>
      <w:r>
        <w:rPr>
          <w:color w:val="231F20"/>
          <w:spacing w:val="-13"/>
        </w:rPr>
        <w:t xml:space="preserve"> </w:t>
      </w:r>
      <w:r>
        <w:rPr>
          <w:color w:val="231F20"/>
        </w:rPr>
        <w:t>et</w:t>
      </w:r>
      <w:r>
        <w:rPr>
          <w:color w:val="231F20"/>
          <w:spacing w:val="-13"/>
        </w:rPr>
        <w:t xml:space="preserve"> </w:t>
      </w:r>
      <w:r>
        <w:rPr>
          <w:color w:val="231F20"/>
        </w:rPr>
        <w:t>augmente</w:t>
      </w:r>
      <w:r>
        <w:rPr>
          <w:color w:val="231F20"/>
          <w:spacing w:val="-13"/>
        </w:rPr>
        <w:t xml:space="preserve"> </w:t>
      </w:r>
      <w:r>
        <w:rPr>
          <w:color w:val="231F20"/>
        </w:rPr>
        <w:t>avec</w:t>
      </w:r>
      <w:r>
        <w:rPr>
          <w:color w:val="231F20"/>
          <w:spacing w:val="-12"/>
        </w:rPr>
        <w:t xml:space="preserve"> </w:t>
      </w:r>
      <w:r>
        <w:rPr>
          <w:color w:val="231F20"/>
        </w:rPr>
        <w:t>l’âge.</w:t>
      </w:r>
      <w:r>
        <w:rPr>
          <w:color w:val="231F20"/>
          <w:spacing w:val="-13"/>
        </w:rPr>
        <w:t xml:space="preserve"> </w:t>
      </w:r>
      <w:r>
        <w:rPr>
          <w:color w:val="231F20"/>
        </w:rPr>
        <w:t>Les</w:t>
      </w:r>
      <w:r>
        <w:rPr>
          <w:color w:val="231F20"/>
          <w:spacing w:val="-13"/>
        </w:rPr>
        <w:t xml:space="preserve"> </w:t>
      </w:r>
      <w:r>
        <w:rPr>
          <w:color w:val="231F20"/>
        </w:rPr>
        <w:t>risques</w:t>
      </w:r>
      <w:r>
        <w:rPr>
          <w:color w:val="231F20"/>
          <w:spacing w:val="-13"/>
        </w:rPr>
        <w:t xml:space="preserve"> </w:t>
      </w:r>
      <w:r>
        <w:rPr>
          <w:color w:val="231F20"/>
        </w:rPr>
        <w:t>professionnels</w:t>
      </w:r>
      <w:r>
        <w:rPr>
          <w:color w:val="231F20"/>
          <w:spacing w:val="-12"/>
        </w:rPr>
        <w:t xml:space="preserve"> </w:t>
      </w:r>
      <w:r>
        <w:rPr>
          <w:color w:val="231F20"/>
        </w:rPr>
        <w:t>sont</w:t>
      </w:r>
      <w:r>
        <w:rPr>
          <w:color w:val="231F20"/>
          <w:spacing w:val="-13"/>
        </w:rPr>
        <w:t xml:space="preserve"> </w:t>
      </w:r>
      <w:r>
        <w:rPr>
          <w:color w:val="231F20"/>
        </w:rPr>
        <w:t>trois</w:t>
      </w:r>
      <w:r>
        <w:rPr>
          <w:color w:val="231F20"/>
          <w:spacing w:val="-13"/>
        </w:rPr>
        <w:t xml:space="preserve"> </w:t>
      </w:r>
      <w:r>
        <w:rPr>
          <w:color w:val="231F20"/>
        </w:rPr>
        <w:t>fois</w:t>
      </w:r>
      <w:r>
        <w:rPr>
          <w:color w:val="231F20"/>
          <w:spacing w:val="-12"/>
        </w:rPr>
        <w:t xml:space="preserve"> </w:t>
      </w:r>
      <w:r>
        <w:rPr>
          <w:color w:val="231F20"/>
        </w:rPr>
        <w:t>plus</w:t>
      </w:r>
      <w:r>
        <w:rPr>
          <w:color w:val="231F20"/>
          <w:spacing w:val="-13"/>
        </w:rPr>
        <w:t xml:space="preserve"> </w:t>
      </w:r>
      <w:proofErr w:type="spellStart"/>
      <w:r>
        <w:rPr>
          <w:color w:val="231F20"/>
        </w:rPr>
        <w:t>impor</w:t>
      </w:r>
      <w:proofErr w:type="spellEnd"/>
      <w:r>
        <w:rPr>
          <w:color w:val="231F20"/>
        </w:rPr>
        <w:t xml:space="preserve">- </w:t>
      </w:r>
      <w:proofErr w:type="spellStart"/>
      <w:r>
        <w:rPr>
          <w:color w:val="231F20"/>
        </w:rPr>
        <w:t>tants</w:t>
      </w:r>
      <w:proofErr w:type="spellEnd"/>
      <w:r>
        <w:rPr>
          <w:color w:val="231F20"/>
        </w:rPr>
        <w:t xml:space="preserve"> dans les catégories les plus confrontées à la précarité, employées et ouvrières.</w:t>
      </w:r>
    </w:p>
    <w:p w14:paraId="383A01B4" w14:textId="77777777" w:rsidR="00CA466B" w:rsidRDefault="00601A70">
      <w:pPr>
        <w:pStyle w:val="Corpsdetexte"/>
        <w:spacing w:before="118"/>
        <w:ind w:left="2628" w:right="636"/>
        <w:jc w:val="both"/>
      </w:pPr>
      <w:r>
        <w:rPr>
          <w:color w:val="231F20"/>
        </w:rPr>
        <w:t xml:space="preserve">C’est pourquoi la CFDT entend bien porter à tous les niveaux les enjeux d’une vé- </w:t>
      </w:r>
      <w:proofErr w:type="spellStart"/>
      <w:r>
        <w:rPr>
          <w:color w:val="231F20"/>
        </w:rPr>
        <w:t>ritable</w:t>
      </w:r>
      <w:proofErr w:type="spellEnd"/>
      <w:r>
        <w:rPr>
          <w:color w:val="231F20"/>
        </w:rPr>
        <w:t xml:space="preserve"> politique de santé des femmes. En témoigne notre engagement au sein du Comité régional d’orientation et des conditions de travail (CROCT) d’Occitanie pour le déploiement du plan régional de santé au travail (PRST) avec des actions </w:t>
      </w:r>
      <w:proofErr w:type="spellStart"/>
      <w:r>
        <w:rPr>
          <w:color w:val="231F20"/>
        </w:rPr>
        <w:t>spéci</w:t>
      </w:r>
      <w:proofErr w:type="spellEnd"/>
      <w:r>
        <w:rPr>
          <w:color w:val="231F20"/>
        </w:rPr>
        <w:t xml:space="preserve">- </w:t>
      </w:r>
      <w:proofErr w:type="spellStart"/>
      <w:r>
        <w:rPr>
          <w:color w:val="231F20"/>
        </w:rPr>
        <w:t>fiques</w:t>
      </w:r>
      <w:proofErr w:type="spellEnd"/>
      <w:r>
        <w:rPr>
          <w:color w:val="231F20"/>
        </w:rPr>
        <w:t xml:space="preserve"> sur la santé des femmes et en particulier des actions de prévention sur les violences sexistes et sexuelles au travail à retrouver sur le site dédié</w:t>
      </w:r>
      <w:r>
        <w:rPr>
          <w:color w:val="231F20"/>
          <w:spacing w:val="-3"/>
        </w:rPr>
        <w:t xml:space="preserve"> </w:t>
      </w:r>
      <w:r>
        <w:rPr>
          <w:color w:val="231F20"/>
        </w:rPr>
        <w:t xml:space="preserve">: </w:t>
      </w:r>
      <w:hyperlink r:id="rId9">
        <w:r>
          <w:rPr>
            <w:color w:val="205E9E"/>
            <w:u w:val="single" w:color="205E9E"/>
          </w:rPr>
          <w:t>http://www.</w:t>
        </w:r>
      </w:hyperlink>
      <w:r>
        <w:rPr>
          <w:color w:val="205E9E"/>
        </w:rPr>
        <w:t xml:space="preserve"> </w:t>
      </w:r>
      <w:hyperlink r:id="rId10">
        <w:r>
          <w:rPr>
            <w:color w:val="205E9E"/>
            <w:spacing w:val="-2"/>
            <w:u w:val="single" w:color="205E9E"/>
          </w:rPr>
          <w:t>prst-occitanie.fr/r/143/la-sante-au-travail-face-aux-defis-d-aujourd-hui-et-de-de-</w:t>
        </w:r>
      </w:hyperlink>
      <w:r>
        <w:rPr>
          <w:color w:val="205E9E"/>
          <w:spacing w:val="-2"/>
        </w:rPr>
        <w:t xml:space="preserve"> </w:t>
      </w:r>
      <w:hyperlink r:id="rId11">
        <w:r>
          <w:rPr>
            <w:color w:val="205E9E"/>
            <w:spacing w:val="-2"/>
            <w:u w:val="single" w:color="205E9E"/>
          </w:rPr>
          <w:t>main-la-sante-au-travail-des-femmes/</w:t>
        </w:r>
      </w:hyperlink>
    </w:p>
    <w:p w14:paraId="24602D89" w14:textId="77777777" w:rsidR="00CA466B" w:rsidRDefault="00601A70">
      <w:pPr>
        <w:spacing w:before="114" w:line="232" w:lineRule="auto"/>
        <w:ind w:left="2628" w:right="637"/>
        <w:jc w:val="both"/>
        <w:rPr>
          <w:b/>
          <w:sz w:val="24"/>
        </w:rPr>
      </w:pPr>
      <w:r>
        <w:rPr>
          <w:b/>
          <w:color w:val="EA5B0B"/>
          <w:sz w:val="24"/>
        </w:rPr>
        <w:t xml:space="preserve">Rejoignez-nous et agissez avec vos </w:t>
      </w:r>
      <w:proofErr w:type="spellStart"/>
      <w:r>
        <w:rPr>
          <w:b/>
          <w:color w:val="EA5B0B"/>
          <w:sz w:val="24"/>
        </w:rPr>
        <w:t>élu·es</w:t>
      </w:r>
      <w:proofErr w:type="spellEnd"/>
      <w:r>
        <w:rPr>
          <w:b/>
          <w:color w:val="EA5B0B"/>
          <w:sz w:val="24"/>
        </w:rPr>
        <w:t xml:space="preserve"> CFDT sur la prise en compte de la santé des femmes.</w:t>
      </w:r>
    </w:p>
    <w:p w14:paraId="18BF9DC4" w14:textId="77777777" w:rsidR="00CA466B" w:rsidRDefault="00601A70">
      <w:pPr>
        <w:spacing w:line="232" w:lineRule="auto"/>
        <w:ind w:left="2628" w:right="637"/>
        <w:jc w:val="both"/>
        <w:rPr>
          <w:b/>
          <w:sz w:val="24"/>
        </w:rPr>
      </w:pPr>
      <w:proofErr w:type="gramStart"/>
      <w:r>
        <w:rPr>
          <w:b/>
          <w:color w:val="231F20"/>
          <w:spacing w:val="-2"/>
          <w:sz w:val="24"/>
        </w:rPr>
        <w:t>Au</w:t>
      </w:r>
      <w:r>
        <w:rPr>
          <w:b/>
          <w:color w:val="231F20"/>
          <w:spacing w:val="-11"/>
          <w:sz w:val="24"/>
        </w:rPr>
        <w:t xml:space="preserve"> </w:t>
      </w:r>
      <w:r>
        <w:rPr>
          <w:b/>
          <w:color w:val="231F20"/>
          <w:spacing w:val="-2"/>
          <w:sz w:val="24"/>
        </w:rPr>
        <w:t>final</w:t>
      </w:r>
      <w:proofErr w:type="gramEnd"/>
      <w:r>
        <w:rPr>
          <w:b/>
          <w:color w:val="231F20"/>
          <w:spacing w:val="-2"/>
          <w:sz w:val="24"/>
        </w:rPr>
        <w:t>,</w:t>
      </w:r>
      <w:r>
        <w:rPr>
          <w:b/>
          <w:color w:val="231F20"/>
          <w:spacing w:val="-10"/>
          <w:sz w:val="24"/>
        </w:rPr>
        <w:t xml:space="preserve"> </w:t>
      </w:r>
      <w:r>
        <w:rPr>
          <w:b/>
          <w:color w:val="231F20"/>
          <w:spacing w:val="-2"/>
          <w:sz w:val="24"/>
        </w:rPr>
        <w:t>en</w:t>
      </w:r>
      <w:r>
        <w:rPr>
          <w:b/>
          <w:color w:val="231F20"/>
          <w:spacing w:val="-10"/>
          <w:sz w:val="24"/>
        </w:rPr>
        <w:t xml:space="preserve"> </w:t>
      </w:r>
      <w:r>
        <w:rPr>
          <w:b/>
          <w:color w:val="231F20"/>
          <w:spacing w:val="-2"/>
          <w:sz w:val="24"/>
        </w:rPr>
        <w:t>considérant</w:t>
      </w:r>
      <w:r>
        <w:rPr>
          <w:b/>
          <w:color w:val="231F20"/>
          <w:spacing w:val="-10"/>
          <w:sz w:val="24"/>
        </w:rPr>
        <w:t xml:space="preserve"> </w:t>
      </w:r>
      <w:r>
        <w:rPr>
          <w:b/>
          <w:color w:val="231F20"/>
          <w:spacing w:val="-2"/>
          <w:sz w:val="24"/>
        </w:rPr>
        <w:t>les</w:t>
      </w:r>
      <w:r>
        <w:rPr>
          <w:b/>
          <w:color w:val="231F20"/>
          <w:spacing w:val="-10"/>
          <w:sz w:val="24"/>
        </w:rPr>
        <w:t xml:space="preserve"> </w:t>
      </w:r>
      <w:r>
        <w:rPr>
          <w:b/>
          <w:color w:val="231F20"/>
          <w:spacing w:val="-2"/>
          <w:sz w:val="24"/>
        </w:rPr>
        <w:t>conditions</w:t>
      </w:r>
      <w:r>
        <w:rPr>
          <w:b/>
          <w:color w:val="231F20"/>
          <w:spacing w:val="-10"/>
          <w:sz w:val="24"/>
        </w:rPr>
        <w:t xml:space="preserve"> </w:t>
      </w:r>
      <w:r>
        <w:rPr>
          <w:b/>
          <w:color w:val="231F20"/>
          <w:spacing w:val="-2"/>
          <w:sz w:val="24"/>
        </w:rPr>
        <w:t>d’accès</w:t>
      </w:r>
      <w:r>
        <w:rPr>
          <w:b/>
          <w:color w:val="231F20"/>
          <w:spacing w:val="-10"/>
          <w:sz w:val="24"/>
        </w:rPr>
        <w:t xml:space="preserve"> </w:t>
      </w:r>
      <w:r>
        <w:rPr>
          <w:b/>
          <w:color w:val="231F20"/>
          <w:spacing w:val="-2"/>
          <w:sz w:val="24"/>
        </w:rPr>
        <w:t>à</w:t>
      </w:r>
      <w:r>
        <w:rPr>
          <w:b/>
          <w:color w:val="231F20"/>
          <w:spacing w:val="-10"/>
          <w:sz w:val="24"/>
        </w:rPr>
        <w:t xml:space="preserve"> </w:t>
      </w:r>
      <w:r>
        <w:rPr>
          <w:b/>
          <w:color w:val="231F20"/>
          <w:spacing w:val="-2"/>
          <w:sz w:val="24"/>
        </w:rPr>
        <w:t>la</w:t>
      </w:r>
      <w:r>
        <w:rPr>
          <w:b/>
          <w:color w:val="231F20"/>
          <w:spacing w:val="-11"/>
          <w:sz w:val="24"/>
        </w:rPr>
        <w:t xml:space="preserve"> </w:t>
      </w:r>
      <w:r>
        <w:rPr>
          <w:b/>
          <w:color w:val="231F20"/>
          <w:spacing w:val="-2"/>
          <w:sz w:val="24"/>
        </w:rPr>
        <w:t>santé</w:t>
      </w:r>
      <w:r>
        <w:rPr>
          <w:b/>
          <w:color w:val="231F20"/>
          <w:spacing w:val="-10"/>
          <w:sz w:val="24"/>
        </w:rPr>
        <w:t xml:space="preserve"> </w:t>
      </w:r>
      <w:r>
        <w:rPr>
          <w:b/>
          <w:color w:val="231F20"/>
          <w:spacing w:val="-2"/>
          <w:sz w:val="24"/>
        </w:rPr>
        <w:t>des</w:t>
      </w:r>
      <w:r>
        <w:rPr>
          <w:b/>
          <w:color w:val="231F20"/>
          <w:spacing w:val="-10"/>
          <w:sz w:val="24"/>
        </w:rPr>
        <w:t xml:space="preserve"> </w:t>
      </w:r>
      <w:r>
        <w:rPr>
          <w:b/>
          <w:color w:val="231F20"/>
          <w:spacing w:val="-2"/>
          <w:sz w:val="24"/>
        </w:rPr>
        <w:t>femmes,</w:t>
      </w:r>
      <w:r>
        <w:rPr>
          <w:b/>
          <w:color w:val="231F20"/>
          <w:spacing w:val="-10"/>
          <w:sz w:val="24"/>
        </w:rPr>
        <w:t xml:space="preserve"> </w:t>
      </w:r>
      <w:r>
        <w:rPr>
          <w:b/>
          <w:color w:val="231F20"/>
          <w:spacing w:val="-2"/>
          <w:sz w:val="24"/>
        </w:rPr>
        <w:t>on</w:t>
      </w:r>
      <w:r>
        <w:rPr>
          <w:b/>
          <w:color w:val="231F20"/>
          <w:spacing w:val="-10"/>
          <w:sz w:val="24"/>
        </w:rPr>
        <w:t xml:space="preserve"> </w:t>
      </w:r>
      <w:r>
        <w:rPr>
          <w:b/>
          <w:color w:val="231F20"/>
          <w:spacing w:val="-2"/>
          <w:sz w:val="24"/>
        </w:rPr>
        <w:t xml:space="preserve">travaille </w:t>
      </w:r>
      <w:r>
        <w:rPr>
          <w:b/>
          <w:color w:val="231F20"/>
          <w:sz w:val="24"/>
        </w:rPr>
        <w:t>sur l’égalité simplement.</w:t>
      </w:r>
    </w:p>
    <w:p w14:paraId="0A141623" w14:textId="77777777" w:rsidR="00CA466B" w:rsidRDefault="00601A70">
      <w:pPr>
        <w:spacing w:before="82" w:line="232" w:lineRule="auto"/>
        <w:ind w:left="2632" w:right="633" w:hanging="1"/>
        <w:jc w:val="both"/>
        <w:rPr>
          <w:b/>
          <w:sz w:val="34"/>
        </w:rPr>
      </w:pPr>
      <w:r>
        <w:rPr>
          <w:b/>
          <w:color w:val="57489D"/>
          <w:sz w:val="34"/>
        </w:rPr>
        <w:t xml:space="preserve">LA </w:t>
      </w:r>
      <w:r>
        <w:rPr>
          <w:b/>
          <w:color w:val="EA5B0B"/>
          <w:sz w:val="34"/>
        </w:rPr>
        <w:t xml:space="preserve">CFDT </w:t>
      </w:r>
      <w:r>
        <w:rPr>
          <w:b/>
          <w:color w:val="57489D"/>
          <w:sz w:val="34"/>
        </w:rPr>
        <w:t>SE BAT TOUS LES JOURS POUR L’ÉGALITÉ DE TOUTES ET TOUS !</w:t>
      </w:r>
    </w:p>
    <w:p w14:paraId="3FA1FD74" w14:textId="77777777" w:rsidR="00CA466B" w:rsidRDefault="00601A70">
      <w:pPr>
        <w:spacing w:line="410" w:lineRule="exact"/>
        <w:ind w:left="2632"/>
        <w:jc w:val="both"/>
        <w:rPr>
          <w:b/>
          <w:color w:val="EA5B0B"/>
          <w:spacing w:val="-10"/>
          <w:sz w:val="34"/>
        </w:rPr>
      </w:pPr>
      <w:r>
        <w:rPr>
          <w:b/>
          <w:color w:val="EA5B0B"/>
          <w:sz w:val="34"/>
        </w:rPr>
        <w:t>AGISSEZ</w:t>
      </w:r>
      <w:r>
        <w:rPr>
          <w:b/>
          <w:color w:val="EA5B0B"/>
          <w:spacing w:val="15"/>
          <w:sz w:val="34"/>
        </w:rPr>
        <w:t xml:space="preserve"> </w:t>
      </w:r>
      <w:r>
        <w:rPr>
          <w:b/>
          <w:color w:val="EA5B0B"/>
          <w:sz w:val="34"/>
        </w:rPr>
        <w:t>AVEC</w:t>
      </w:r>
      <w:r>
        <w:rPr>
          <w:b/>
          <w:color w:val="EA5B0B"/>
          <w:spacing w:val="1"/>
          <w:sz w:val="34"/>
        </w:rPr>
        <w:t xml:space="preserve"> </w:t>
      </w:r>
      <w:r>
        <w:rPr>
          <w:b/>
          <w:color w:val="EA5B0B"/>
          <w:sz w:val="34"/>
        </w:rPr>
        <w:t>VOS</w:t>
      </w:r>
      <w:r>
        <w:rPr>
          <w:b/>
          <w:color w:val="EA5B0B"/>
          <w:spacing w:val="15"/>
          <w:sz w:val="34"/>
        </w:rPr>
        <w:t xml:space="preserve"> </w:t>
      </w:r>
      <w:r>
        <w:rPr>
          <w:b/>
          <w:color w:val="EA5B0B"/>
          <w:sz w:val="34"/>
        </w:rPr>
        <w:t>ÉLU·ES</w:t>
      </w:r>
      <w:r>
        <w:rPr>
          <w:b/>
          <w:color w:val="EA5B0B"/>
          <w:spacing w:val="15"/>
          <w:sz w:val="34"/>
        </w:rPr>
        <w:t xml:space="preserve"> </w:t>
      </w:r>
      <w:r>
        <w:rPr>
          <w:b/>
          <w:color w:val="EA5B0B"/>
          <w:sz w:val="34"/>
        </w:rPr>
        <w:t>AU</w:t>
      </w:r>
      <w:r>
        <w:rPr>
          <w:b/>
          <w:color w:val="EA5B0B"/>
          <w:spacing w:val="1"/>
          <w:sz w:val="34"/>
        </w:rPr>
        <w:t xml:space="preserve"> </w:t>
      </w:r>
      <w:r>
        <w:rPr>
          <w:b/>
          <w:color w:val="EA5B0B"/>
          <w:sz w:val="34"/>
        </w:rPr>
        <w:t>TRAVAIL</w:t>
      </w:r>
      <w:r>
        <w:rPr>
          <w:b/>
          <w:color w:val="EA5B0B"/>
          <w:spacing w:val="12"/>
          <w:sz w:val="34"/>
        </w:rPr>
        <w:t xml:space="preserve"> </w:t>
      </w:r>
      <w:r>
        <w:rPr>
          <w:b/>
          <w:color w:val="EA5B0B"/>
          <w:spacing w:val="-10"/>
          <w:sz w:val="34"/>
        </w:rPr>
        <w:t>!</w:t>
      </w:r>
    </w:p>
    <w:p w14:paraId="760A8FCE" w14:textId="5DA10836" w:rsidR="00601A70" w:rsidRDefault="00601A70">
      <w:pPr>
        <w:spacing w:line="410" w:lineRule="exact"/>
        <w:ind w:left="2632"/>
        <w:jc w:val="both"/>
        <w:rPr>
          <w:b/>
          <w:sz w:val="34"/>
        </w:rPr>
      </w:pPr>
      <w:r>
        <w:rPr>
          <w:b/>
          <w:sz w:val="24"/>
        </w:rPr>
        <w:t>Contacts :</w:t>
      </w:r>
    </w:p>
    <w:sectPr w:rsidR="00601A70">
      <w:pgSz w:w="11910" w:h="16840"/>
      <w:pgMar w:top="440" w:right="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A466B"/>
    <w:rsid w:val="0043584A"/>
    <w:rsid w:val="00601A70"/>
    <w:rsid w:val="00CA4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EEB"/>
  <w15:docId w15:val="{3C230DCF-C0F1-46E9-B657-47A40B7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lang w:val="fr-FR"/>
    </w:rPr>
  </w:style>
  <w:style w:type="paragraph" w:styleId="Titre1">
    <w:name w:val="heading 1"/>
    <w:basedOn w:val="Normal"/>
    <w:uiPriority w:val="9"/>
    <w:qFormat/>
    <w:pPr>
      <w:ind w:left="2868"/>
      <w:outlineLvl w:val="0"/>
    </w:pPr>
    <w:rPr>
      <w:rFonts w:ascii="Arial" w:eastAsia="Arial" w:hAnsi="Arial" w:cs="Arial"/>
      <w:b/>
      <w:bCs/>
      <w:sz w:val="55"/>
      <w:szCs w:val="55"/>
    </w:rPr>
  </w:style>
  <w:style w:type="paragraph" w:styleId="Titre2">
    <w:name w:val="heading 2"/>
    <w:basedOn w:val="Normal"/>
    <w:uiPriority w:val="9"/>
    <w:unhideWhenUsed/>
    <w:qFormat/>
    <w:pPr>
      <w:spacing w:line="535" w:lineRule="exact"/>
      <w:ind w:left="824"/>
      <w:outlineLvl w:val="1"/>
    </w:pPr>
    <w:rPr>
      <w:rFonts w:ascii="Arial" w:eastAsia="Arial" w:hAnsi="Arial" w:cs="Arial"/>
      <w:b/>
      <w:bCs/>
      <w:sz w:val="49"/>
      <w:szCs w:val="4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dt.fr/portail/presse/communiques-de-presse/cancer-du-sein-pour-une-reconnaissance-d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fdt.fr/portail/presse/communiques-de-presse/cancer-du-sein-pour-une-reconnaissance-d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dt.fr/portail/presse/communiques-de-presse/cancer-du-sein-pour-une-reconnaissance-de-l" TargetMode="External"/><Relationship Id="rId11" Type="http://schemas.openxmlformats.org/officeDocument/2006/relationships/hyperlink" Target="http://www.prst-occitanie.fr/r/143/la-sante-au-travail-face-aux-defis-d-aujourd-hui-et-de-demain-la-" TargetMode="External"/><Relationship Id="rId5" Type="http://schemas.openxmlformats.org/officeDocument/2006/relationships/image" Target="media/image2.png"/><Relationship Id="rId10" Type="http://schemas.openxmlformats.org/officeDocument/2006/relationships/hyperlink" Target="http://www.prst-occitanie.fr/r/143/la-sante-au-travail-face-aux-defis-d-aujourd-hui-et-de-demain-la-" TargetMode="External"/><Relationship Id="rId4" Type="http://schemas.openxmlformats.org/officeDocument/2006/relationships/image" Target="media/image1.jpeg"/><Relationship Id="rId9" Type="http://schemas.openxmlformats.org/officeDocument/2006/relationships/hyperlink" Target="http://www.prst-occitanie.fr/r/143/la-sante-au-travail-face-aux-defis-d-aujourd-hui-et-de-demai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MAUREL Loris</cp:lastModifiedBy>
  <cp:revision>3</cp:revision>
  <dcterms:created xsi:type="dcterms:W3CDTF">2024-02-26T14:42:00Z</dcterms:created>
  <dcterms:modified xsi:type="dcterms:W3CDTF">2024-02-27T14:40:00Z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(Windows)</vt:lpwstr>
  </property>
  <property fmtid="{D5CDD505-2E9C-101B-9397-08002B2CF9AE}" pid="4" name="LastSaved">
    <vt:filetime>2024-02-26T00:00:00Z</vt:filetime>
  </property>
  <property fmtid="{D5CDD505-2E9C-101B-9397-08002B2CF9AE}" pid="5" name="Producer">
    <vt:lpwstr>Adobe PDF Library 17.0</vt:lpwstr>
  </property>
</Properties>
</file>